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21</w:t>
      </w:r>
    </w:p>
    <w:p>
      <w:r>
        <w:t>Bundesgericht (BGE), 1987-08-13, DE</w:t>
      </w:r>
    </w:p>
    <w:p>
      <w:r>
        <w:rPr>
          <w:b/>
        </w:rPr>
        <w:t xml:space="preserve">Quelle: </w:t>
      </w:r>
      <w:r>
        <w:t>https://mcp.opencaselaw.ch/entscheid/bge_114 III 21</w:t>
      </w:r>
    </w:p>
    <w:p>
      <w:r>
        <w:t>FR: ATF 114 III 21</w:t>
      </w:r>
    </w:p>
    <w:p>
      <w:r>
        <w:t>IT: DTF 114 III 21</w:t>
      </w:r>
    </w:p>
    <w:p>
      <w:pPr>
        <w:pStyle w:val="Heading2"/>
      </w:pPr>
      <w:r>
        <w:t>Regeste</w:t>
      </w:r>
    </w:p>
    <w:p>
      <w:r>
        <w:t>Regeste Konkursinventar; Art. 197 SchKG. Ansprüche, die gegen die Konkursverwaltung wegen deren Amtshandlungen erhoben werden, bilden ihrer Natur nach nicht Bestandteil der Konkursmasse. Sie sind daher nicht in das Konkursinventar aufzunehmen.</w:t>
      </w:r>
    </w:p>
    <w:p>
      <w:pPr>
        <w:pStyle w:val="Heading2"/>
      </w:pPr>
      <w:r>
        <w:t>Erwägungen</w:t>
      </w:r>
    </w:p>
    <w:p>
      <w:r>
        <w:rPr>
          <w:b/>
        </w:rPr>
        <w:t>E. 5</w:t>
      </w:r>
    </w:p>
    <w:p>
      <w:r>
        <w:t>a) Beim Begehren der Rekurrentin kann es sich nicht um die paulianische Anfechtung im Sinne der Art. 285 ff. SchKG handeln; denn dieses Recht zur Anfechtung, das an sich nach Massgabe von Art. 260 SchKG an Gläubiger abgetreten werden kann, bezieht sich nur auf Handlungen des Schuldners. Es geht auch nicht um einen abtretbaren Schadenersatzanspruch ( BGE 43 III 281 ff., ZR 18/1919 Nr. 101; GILLIERON, Poursuite pour dettes, faillite et concordat, S. 264, § 3), den die Konkursmasse allenfalls noch nach der Konkurseröffnung erwerben kann (JAEGER, Schuldbetreibung und Konkurs II, S. 261, N. 4 Abs. 2 zu Art. 260 SchKG ). b) Gegen die Weigerung der Konkursverwaltung, einen Gegenstand in das Konkursinventar aufzunehmen, kann jeder Gläubiger Beschwerde führen ( BGE 64 III 36 ). Ist der Bestand eines zur Konkursmasse gehörenden Rechtes streitig, so hat sich die Konkursverwaltung an die Angaben der Gläubiger zu halten und das Recht in das Inventar aufzunehmen ( BGE 104 III 24 E. 2, BGE 81 III 122 ). Das Erstellen des Inventars ist eine rein interne Massnahme der Konkursverwaltung, die keine Wirkung gegenüber Dritten entfaltet ( BGE 90 III 19 E. 1). Da es sich beim Streit über den Bestand oder die Höhe einer im Konkurs angemeldeten Forderung um eine Frage des materiellen BGE 114 III 21 S. 23 Rechts handelt, entscheidet darüber der Richter. Indessen ist zu beachten, dass es dabei stets um Rechtsansprüche geht, die ihrer Natur nach überhaupt Bestandteil der Konkursmasse bilden können. Solche Forderungen vermehren, sofern sie durchsetzbar sind, vorerst das Konkursvermögen. Verzichtet indessen die Gesamtheit der Gläubiger auf deren Geltendmachung, so können sie nach Massgabe von Art. 260 Abs. 1 SchKG an einzelne Gläubiger abgetreten werden ( BGE 93 III 63 E. 1a, 43 III 284 ff.; JAEGER, a.a.O., N. 4 zu Art. 260 SchKG , S. 260 f.). Anders verhält es sich im vorliegenden Fall, wo Ansprüche gegen die Konkursverwaltung wegen deren Amtshandlungen erhoben werden, Solche Ansprüche bilden nicht Bestandteil der Konkursmasse und können deshalb von dieser auch nicht gemäss Art. 260 Abs. 1 SchKG an Gläubiger abgetreten werden. Vielmehr müssen mit Handlungen der Konkursverwaltung begründete Rechtsansprüche von den Gläubigern, die solche zu haben glauben, unmittelbar gegen die Konkursverwaltung geltend gemacht werden (ZR 18/1919, Nr. 101 E. 3). Über die Frage, ob ein Vermögensrecht seiner Natur nach überhaupt Bestandteil der Konkursmasse bilden kann, befinden die Aufsichtsbehörden in Schuldbetreibungs- und Konkurssachen; deren Entscheid bindet den Richter ( BGE 43 III 286 ). c) Zusammenfassend ergibt sich aus dem Gesagten, dass es sich bei dem Anspruch, den die Rekurrentin inventarisiert haben möchte, um einen Anspruch gegen die Konkursverwaltung handelt, der seiner Natur nach nicht Bestandteil der Konkursmasse bildet und daher von dieser nicht nach Massgabe von Art. 260 SchKG an Gläubiger abgetreten werden kann. Der behauptete Anspruch kann somit nicht in das Konkursinventar aufgenommen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